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3A" w:rsidRPr="00A86E57" w:rsidRDefault="0055423A" w:rsidP="0055423A">
      <w:pPr>
        <w:rPr>
          <w:b/>
          <w:sz w:val="28"/>
          <w:szCs w:val="28"/>
        </w:rPr>
      </w:pPr>
      <w:r w:rsidRPr="00A86E57">
        <w:rPr>
          <w:b/>
          <w:sz w:val="28"/>
          <w:szCs w:val="28"/>
        </w:rPr>
        <w:t>Prevent Duty</w:t>
      </w:r>
      <w:r w:rsidR="00293B2A">
        <w:rPr>
          <w:b/>
          <w:sz w:val="28"/>
          <w:szCs w:val="28"/>
        </w:rPr>
        <w:t xml:space="preserve">   (FE)</w:t>
      </w:r>
    </w:p>
    <w:p w:rsidR="0055423A" w:rsidRPr="00A86E57" w:rsidRDefault="0055423A" w:rsidP="0055423A">
      <w:pPr>
        <w:rPr>
          <w:sz w:val="24"/>
          <w:szCs w:val="24"/>
        </w:rPr>
      </w:pPr>
      <w:r w:rsidRPr="00A86E57">
        <w:rPr>
          <w:sz w:val="24"/>
          <w:szCs w:val="24"/>
          <w:u w:val="single"/>
          <w:lang w:val="en-GB"/>
        </w:rPr>
        <w:t>Background</w:t>
      </w:r>
    </w:p>
    <w:p w:rsidR="0055423A" w:rsidRPr="00A86E57" w:rsidRDefault="0055423A" w:rsidP="0055423A">
      <w:pPr>
        <w:rPr>
          <w:sz w:val="24"/>
          <w:szCs w:val="24"/>
        </w:rPr>
      </w:pPr>
      <w:r w:rsidRPr="00A86E57">
        <w:rPr>
          <w:sz w:val="24"/>
          <w:szCs w:val="24"/>
          <w:lang w:val="en-GB"/>
        </w:rPr>
        <w:t xml:space="preserve">The terrorism threat to the UK is considerable. It is as bad as at any time since 9/11. </w:t>
      </w:r>
    </w:p>
    <w:p w:rsidR="0055423A" w:rsidRPr="00A86E57" w:rsidRDefault="0055423A" w:rsidP="0055423A">
      <w:pPr>
        <w:rPr>
          <w:sz w:val="24"/>
          <w:szCs w:val="24"/>
        </w:rPr>
      </w:pPr>
      <w:r w:rsidRPr="00A86E57">
        <w:rPr>
          <w:sz w:val="24"/>
          <w:szCs w:val="24"/>
          <w:lang w:val="en-GB"/>
        </w:rPr>
        <w:t xml:space="preserve">The collapse of Syria and the emergence of the Islamic State of Iraq and the Levant (ISIL), not only threatens the stability of the Middle East, but presents a clear danger here in the UK. </w:t>
      </w:r>
    </w:p>
    <w:p w:rsidR="0055423A" w:rsidRPr="00A86E57" w:rsidRDefault="0055423A" w:rsidP="0055423A">
      <w:pPr>
        <w:rPr>
          <w:sz w:val="24"/>
          <w:szCs w:val="24"/>
          <w:lang w:val="en-GB"/>
        </w:rPr>
      </w:pPr>
      <w:r w:rsidRPr="00A86E57">
        <w:rPr>
          <w:sz w:val="24"/>
          <w:szCs w:val="24"/>
          <w:lang w:val="en-GB"/>
        </w:rPr>
        <w:t>On 29 August 2014, the independent Joint Terrorism Analysis Centre raised the UK national terrorist threat level from SUBSTANTIAL to SEVERE, meaning that a terrorist attack is ‘highly likely’.</w:t>
      </w:r>
    </w:p>
    <w:p w:rsidR="0055423A" w:rsidRPr="00A86E57" w:rsidRDefault="0055423A" w:rsidP="0055423A">
      <w:pPr>
        <w:rPr>
          <w:sz w:val="24"/>
          <w:szCs w:val="24"/>
        </w:rPr>
      </w:pPr>
      <w:r w:rsidRPr="00A86E57">
        <w:rPr>
          <w:sz w:val="24"/>
          <w:szCs w:val="24"/>
          <w:lang w:val="en-GB"/>
        </w:rPr>
        <w:t>The original CONTEST (Counter Extremism Strategy) was developed in 2003 in order to coordinate the pan-Governmental response to the emerging terrorist threat in the aftermath of the attacks on New York and Washington DC in September 2001.</w:t>
      </w:r>
    </w:p>
    <w:p w:rsidR="0055423A" w:rsidRPr="00A86E57" w:rsidRDefault="0055423A" w:rsidP="0055423A">
      <w:pPr>
        <w:rPr>
          <w:sz w:val="24"/>
          <w:szCs w:val="24"/>
        </w:rPr>
      </w:pPr>
      <w:r w:rsidRPr="00A86E57">
        <w:rPr>
          <w:sz w:val="24"/>
          <w:szCs w:val="24"/>
          <w:lang w:val="en-GB"/>
        </w:rPr>
        <w:t>The aim of the strategy is "to reduce the risk to the UK and its interests overseas from terrorism, so that people can go about their lives freely and with confidence”</w:t>
      </w:r>
    </w:p>
    <w:p w:rsidR="0055423A" w:rsidRPr="00A86E57" w:rsidRDefault="0055423A" w:rsidP="0055423A">
      <w:pPr>
        <w:rPr>
          <w:sz w:val="24"/>
          <w:szCs w:val="24"/>
        </w:rPr>
      </w:pPr>
      <w:r w:rsidRPr="00A86E57">
        <w:rPr>
          <w:sz w:val="24"/>
          <w:szCs w:val="24"/>
          <w:lang w:val="en-GB"/>
        </w:rPr>
        <w:t xml:space="preserve">CONTEST is split into four work streams that are known within the counter-terrorism community as the 'four P's': </w:t>
      </w:r>
    </w:p>
    <w:p w:rsidR="0055423A" w:rsidRPr="00A86E57" w:rsidRDefault="0055423A" w:rsidP="0055423A">
      <w:pPr>
        <w:rPr>
          <w:sz w:val="24"/>
          <w:szCs w:val="24"/>
          <w:lang w:val="en-GB"/>
        </w:rPr>
      </w:pPr>
      <w:r w:rsidRPr="00A86E57">
        <w:rPr>
          <w:i/>
          <w:iCs/>
          <w:sz w:val="24"/>
          <w:szCs w:val="24"/>
          <w:lang w:val="en-GB"/>
        </w:rPr>
        <w:t>Prevent</w:t>
      </w:r>
      <w:r w:rsidRPr="00A86E57">
        <w:rPr>
          <w:sz w:val="24"/>
          <w:szCs w:val="24"/>
          <w:lang w:val="en-GB"/>
        </w:rPr>
        <w:t xml:space="preserve">, </w:t>
      </w:r>
      <w:r w:rsidRPr="00A86E57">
        <w:rPr>
          <w:i/>
          <w:iCs/>
          <w:sz w:val="24"/>
          <w:szCs w:val="24"/>
          <w:lang w:val="en-GB"/>
        </w:rPr>
        <w:t>Pursue</w:t>
      </w:r>
      <w:r w:rsidRPr="00A86E57">
        <w:rPr>
          <w:sz w:val="24"/>
          <w:szCs w:val="24"/>
          <w:lang w:val="en-GB"/>
        </w:rPr>
        <w:t xml:space="preserve">, </w:t>
      </w:r>
      <w:r w:rsidRPr="00A86E57">
        <w:rPr>
          <w:i/>
          <w:iCs/>
          <w:sz w:val="24"/>
          <w:szCs w:val="24"/>
          <w:lang w:val="en-GB"/>
        </w:rPr>
        <w:t>Protect</w:t>
      </w:r>
      <w:r w:rsidRPr="00A86E57">
        <w:rPr>
          <w:sz w:val="24"/>
          <w:szCs w:val="24"/>
          <w:lang w:val="en-GB"/>
        </w:rPr>
        <w:t xml:space="preserve">, and </w:t>
      </w:r>
      <w:r w:rsidRPr="00A86E57">
        <w:rPr>
          <w:i/>
          <w:iCs/>
          <w:sz w:val="24"/>
          <w:szCs w:val="24"/>
          <w:lang w:val="en-GB"/>
        </w:rPr>
        <w:t>Prepare</w:t>
      </w:r>
      <w:r w:rsidRPr="00A86E57">
        <w:rPr>
          <w:sz w:val="24"/>
          <w:szCs w:val="24"/>
          <w:lang w:val="en-GB"/>
        </w:rPr>
        <w:t>.</w:t>
      </w:r>
    </w:p>
    <w:p w:rsidR="0055423A" w:rsidRDefault="0055423A" w:rsidP="0055423A">
      <w:pPr>
        <w:rPr>
          <w:sz w:val="24"/>
          <w:szCs w:val="24"/>
        </w:rPr>
      </w:pPr>
      <w:r w:rsidRPr="00A86E57">
        <w:rPr>
          <w:sz w:val="24"/>
          <w:szCs w:val="24"/>
        </w:rPr>
        <w:t>Prevent is the only element that sits in the non-criminal space and therefore is accepted to be part of our safeguarding / preventative work</w:t>
      </w:r>
    </w:p>
    <w:p w:rsidR="00A86E57" w:rsidRPr="00A86E57" w:rsidRDefault="00A86E57" w:rsidP="00A86E57">
      <w:pPr>
        <w:rPr>
          <w:sz w:val="24"/>
          <w:szCs w:val="24"/>
        </w:rPr>
      </w:pPr>
      <w:r w:rsidRPr="00A86E57">
        <w:rPr>
          <w:b/>
          <w:bCs/>
          <w:sz w:val="24"/>
          <w:szCs w:val="24"/>
          <w:lang w:val="en-GB"/>
        </w:rPr>
        <w:t>Counter Terrorism Act 2015 and the Prevent duty</w:t>
      </w:r>
    </w:p>
    <w:p w:rsidR="00A86E57" w:rsidRPr="00A86E57" w:rsidRDefault="00A86E57" w:rsidP="00A86E57">
      <w:pPr>
        <w:rPr>
          <w:sz w:val="24"/>
          <w:szCs w:val="24"/>
        </w:rPr>
      </w:pPr>
      <w:r w:rsidRPr="00A86E57">
        <w:rPr>
          <w:sz w:val="24"/>
          <w:szCs w:val="24"/>
          <w:lang w:val="en-GB"/>
        </w:rPr>
        <w:t xml:space="preserve">The Counter Terrorism and Security Act (2105) contains a duty for specified authorities to have </w:t>
      </w:r>
      <w:r w:rsidRPr="00AB4848">
        <w:rPr>
          <w:b/>
          <w:sz w:val="24"/>
          <w:szCs w:val="24"/>
          <w:lang w:val="en-GB"/>
        </w:rPr>
        <w:t>due regard</w:t>
      </w:r>
      <w:r w:rsidRPr="00A86E57">
        <w:rPr>
          <w:sz w:val="24"/>
          <w:szCs w:val="24"/>
          <w:lang w:val="en-GB"/>
        </w:rPr>
        <w:t xml:space="preserve"> to the need to prevent people from being drawn into terrorism.</w:t>
      </w:r>
    </w:p>
    <w:p w:rsidR="00A86E57" w:rsidRPr="00A86E57" w:rsidRDefault="00A86E57" w:rsidP="00A86E57">
      <w:pPr>
        <w:rPr>
          <w:sz w:val="24"/>
          <w:szCs w:val="24"/>
        </w:rPr>
      </w:pPr>
      <w:r w:rsidRPr="00A86E57">
        <w:rPr>
          <w:sz w:val="24"/>
          <w:szCs w:val="24"/>
          <w:lang w:val="en-GB"/>
        </w:rPr>
        <w:t>The Act &amp; Duty refer to:</w:t>
      </w:r>
    </w:p>
    <w:p w:rsidR="00A86E57" w:rsidRPr="00A86E57" w:rsidRDefault="00A86E57" w:rsidP="00A86E57">
      <w:pPr>
        <w:numPr>
          <w:ilvl w:val="0"/>
          <w:numId w:val="1"/>
        </w:numPr>
        <w:rPr>
          <w:sz w:val="24"/>
          <w:szCs w:val="24"/>
        </w:rPr>
      </w:pPr>
      <w:r w:rsidRPr="00A86E57">
        <w:rPr>
          <w:sz w:val="24"/>
          <w:szCs w:val="24"/>
          <w:lang w:val="en-GB"/>
        </w:rPr>
        <w:t>FE Colleges</w:t>
      </w:r>
    </w:p>
    <w:p w:rsidR="00A86E57" w:rsidRPr="00A86E57" w:rsidRDefault="00A86E57" w:rsidP="00A86E57">
      <w:pPr>
        <w:numPr>
          <w:ilvl w:val="0"/>
          <w:numId w:val="1"/>
        </w:numPr>
        <w:rPr>
          <w:sz w:val="24"/>
          <w:szCs w:val="24"/>
        </w:rPr>
      </w:pPr>
      <w:r w:rsidRPr="00A86E57">
        <w:rPr>
          <w:sz w:val="24"/>
          <w:szCs w:val="24"/>
          <w:lang w:val="en-GB"/>
        </w:rPr>
        <w:t>HEIs</w:t>
      </w:r>
    </w:p>
    <w:p w:rsidR="00A86E57" w:rsidRPr="00A86E57" w:rsidRDefault="00A86E57" w:rsidP="00A86E57">
      <w:pPr>
        <w:numPr>
          <w:ilvl w:val="0"/>
          <w:numId w:val="1"/>
        </w:numPr>
        <w:rPr>
          <w:sz w:val="24"/>
          <w:szCs w:val="24"/>
        </w:rPr>
      </w:pPr>
      <w:r w:rsidRPr="00A86E57">
        <w:rPr>
          <w:sz w:val="24"/>
          <w:szCs w:val="24"/>
          <w:lang w:val="en-GB"/>
        </w:rPr>
        <w:t>The proprietors of maintained schools, non-maintained schools, non-maintained special schools, maintained nursery schools, independent schools (including academies and free school), alternative provision academies</w:t>
      </w:r>
    </w:p>
    <w:p w:rsidR="00A86E57" w:rsidRPr="00A86E57" w:rsidRDefault="00A86E57" w:rsidP="00A86E57">
      <w:pPr>
        <w:numPr>
          <w:ilvl w:val="0"/>
          <w:numId w:val="1"/>
        </w:numPr>
        <w:rPr>
          <w:sz w:val="24"/>
          <w:szCs w:val="24"/>
        </w:rPr>
      </w:pPr>
      <w:r w:rsidRPr="00A86E57">
        <w:rPr>
          <w:sz w:val="24"/>
          <w:szCs w:val="24"/>
          <w:lang w:val="en-GB"/>
        </w:rPr>
        <w:t>Pupil referral units</w:t>
      </w:r>
    </w:p>
    <w:p w:rsidR="00A86E57" w:rsidRPr="00A86E57" w:rsidRDefault="00A86E57" w:rsidP="00A86E57">
      <w:pPr>
        <w:numPr>
          <w:ilvl w:val="0"/>
          <w:numId w:val="1"/>
        </w:numPr>
        <w:rPr>
          <w:sz w:val="24"/>
          <w:szCs w:val="24"/>
        </w:rPr>
      </w:pPr>
      <w:r w:rsidRPr="00A86E57">
        <w:rPr>
          <w:sz w:val="24"/>
          <w:szCs w:val="24"/>
          <w:lang w:val="en-GB"/>
        </w:rPr>
        <w:t>Registered early years childcare providers</w:t>
      </w:r>
    </w:p>
    <w:p w:rsidR="00A86E57" w:rsidRPr="00A86E57" w:rsidRDefault="00A86E57" w:rsidP="00A86E57">
      <w:pPr>
        <w:numPr>
          <w:ilvl w:val="0"/>
          <w:numId w:val="1"/>
        </w:numPr>
        <w:rPr>
          <w:sz w:val="24"/>
          <w:szCs w:val="24"/>
        </w:rPr>
      </w:pPr>
      <w:r w:rsidRPr="00A86E57">
        <w:rPr>
          <w:sz w:val="24"/>
          <w:szCs w:val="24"/>
          <w:lang w:val="en-GB"/>
        </w:rPr>
        <w:t>Registered later years childcare providers</w:t>
      </w:r>
    </w:p>
    <w:p w:rsidR="00A86E57" w:rsidRPr="00A86E57" w:rsidRDefault="00A86E57" w:rsidP="00A86E57">
      <w:pPr>
        <w:pStyle w:val="ListParagraph"/>
        <w:numPr>
          <w:ilvl w:val="0"/>
          <w:numId w:val="1"/>
        </w:numPr>
        <w:rPr>
          <w:sz w:val="24"/>
          <w:szCs w:val="24"/>
          <w:lang w:val="en-GB"/>
        </w:rPr>
      </w:pPr>
      <w:r w:rsidRPr="00A86E57">
        <w:rPr>
          <w:sz w:val="24"/>
          <w:szCs w:val="24"/>
          <w:lang w:val="en-GB"/>
        </w:rPr>
        <w:t>Providers of holiday schemes for disabled children</w:t>
      </w:r>
    </w:p>
    <w:p w:rsidR="00AB4848" w:rsidRDefault="00AB4848" w:rsidP="0055423A">
      <w:pPr>
        <w:rPr>
          <w:bCs/>
          <w:iCs/>
          <w:sz w:val="24"/>
          <w:szCs w:val="24"/>
          <w:lang w:val="en-GB"/>
        </w:rPr>
      </w:pPr>
      <w:r w:rsidRPr="00AB4848">
        <w:rPr>
          <w:b/>
          <w:bCs/>
          <w:iCs/>
          <w:sz w:val="24"/>
          <w:szCs w:val="24"/>
          <w:lang w:val="en-GB"/>
        </w:rPr>
        <w:lastRenderedPageBreak/>
        <w:t>Extremism</w:t>
      </w:r>
      <w:r>
        <w:rPr>
          <w:bCs/>
          <w:iCs/>
          <w:sz w:val="24"/>
          <w:szCs w:val="24"/>
          <w:lang w:val="en-GB"/>
        </w:rPr>
        <w:t xml:space="preserve"> is defined in the Prevent strategy as;</w:t>
      </w:r>
    </w:p>
    <w:p w:rsidR="00AB4848" w:rsidRPr="00AB4848" w:rsidRDefault="00AB4848" w:rsidP="0055423A">
      <w:pPr>
        <w:rPr>
          <w:bCs/>
          <w:i/>
          <w:iCs/>
          <w:sz w:val="24"/>
          <w:szCs w:val="24"/>
          <w:lang w:val="en-GB"/>
        </w:rPr>
      </w:pPr>
      <w:r w:rsidRPr="00AB4848">
        <w:rPr>
          <w:bCs/>
          <w:i/>
          <w:iCs/>
          <w:sz w:val="24"/>
          <w:szCs w:val="24"/>
          <w:lang w:val="en-GB"/>
        </w:rPr>
        <w:t xml:space="preserve">“vocal or active opposition to fundamental British values, including democracy, the rule of law, individual liberty and mutual respect and tolerance of different faiths and beliefs.” </w:t>
      </w:r>
    </w:p>
    <w:p w:rsidR="00AB4848" w:rsidRDefault="00AB4848" w:rsidP="0055423A">
      <w:pPr>
        <w:rPr>
          <w:bCs/>
          <w:i/>
          <w:iCs/>
          <w:sz w:val="24"/>
          <w:szCs w:val="24"/>
          <w:lang w:val="en-GB"/>
        </w:rPr>
      </w:pPr>
      <w:r w:rsidRPr="00AB4848">
        <w:rPr>
          <w:bCs/>
          <w:i/>
          <w:iCs/>
          <w:sz w:val="24"/>
          <w:szCs w:val="24"/>
          <w:lang w:val="en-GB"/>
        </w:rPr>
        <w:t>Also included in the definition of extremism is the call for the death of members of our armed forces.</w:t>
      </w:r>
    </w:p>
    <w:p w:rsidR="00AB4848" w:rsidRDefault="00AB4848" w:rsidP="0055423A">
      <w:pPr>
        <w:rPr>
          <w:b/>
          <w:bCs/>
          <w:i/>
          <w:iCs/>
          <w:sz w:val="24"/>
          <w:szCs w:val="24"/>
          <w:lang w:val="en-GB"/>
        </w:rPr>
      </w:pPr>
    </w:p>
    <w:p w:rsidR="0055423A" w:rsidRPr="00AB4848" w:rsidRDefault="0055423A" w:rsidP="0055423A">
      <w:pPr>
        <w:rPr>
          <w:sz w:val="24"/>
          <w:szCs w:val="24"/>
        </w:rPr>
      </w:pPr>
      <w:r w:rsidRPr="00AB4848">
        <w:rPr>
          <w:b/>
          <w:bCs/>
          <w:iCs/>
          <w:sz w:val="24"/>
          <w:szCs w:val="24"/>
          <w:lang w:val="en-GB"/>
        </w:rPr>
        <w:t xml:space="preserve">The aim of the duty is: </w:t>
      </w:r>
    </w:p>
    <w:p w:rsidR="00801A4E" w:rsidRPr="00A86E57" w:rsidRDefault="00B83B87" w:rsidP="0055423A">
      <w:pPr>
        <w:numPr>
          <w:ilvl w:val="0"/>
          <w:numId w:val="2"/>
        </w:numPr>
        <w:rPr>
          <w:sz w:val="24"/>
          <w:szCs w:val="24"/>
        </w:rPr>
      </w:pPr>
      <w:r w:rsidRPr="00A86E57">
        <w:rPr>
          <w:i/>
          <w:iCs/>
          <w:sz w:val="24"/>
          <w:szCs w:val="24"/>
          <w:lang w:val="en-GB"/>
        </w:rPr>
        <w:t>to stop individuals being drawn into terrorism. This includes violent and non- violent extremism which in turn can create an atmosphere conducive to terrorism and can popularise views which terrorism may seek to exploit.</w:t>
      </w:r>
    </w:p>
    <w:p w:rsidR="00A86E57" w:rsidRDefault="0055423A" w:rsidP="0055423A">
      <w:pPr>
        <w:rPr>
          <w:sz w:val="24"/>
          <w:szCs w:val="24"/>
          <w:lang w:val="en-GB"/>
        </w:rPr>
      </w:pPr>
      <w:r w:rsidRPr="00A86E57">
        <w:rPr>
          <w:sz w:val="24"/>
          <w:szCs w:val="24"/>
          <w:lang w:val="en-GB"/>
        </w:rPr>
        <w:t> </w:t>
      </w:r>
    </w:p>
    <w:p w:rsidR="0055423A" w:rsidRPr="00A86E57" w:rsidRDefault="0055423A" w:rsidP="0055423A">
      <w:pPr>
        <w:rPr>
          <w:sz w:val="24"/>
          <w:szCs w:val="24"/>
        </w:rPr>
      </w:pPr>
      <w:r w:rsidRPr="00A86E57">
        <w:rPr>
          <w:sz w:val="24"/>
          <w:szCs w:val="24"/>
          <w:lang w:val="en-GB"/>
        </w:rPr>
        <w:t>There are three themes impacting on expectations of the sector (education);</w:t>
      </w:r>
    </w:p>
    <w:p w:rsidR="00801A4E" w:rsidRPr="00A86E57" w:rsidRDefault="00B83B87" w:rsidP="0055423A">
      <w:pPr>
        <w:numPr>
          <w:ilvl w:val="0"/>
          <w:numId w:val="3"/>
        </w:numPr>
        <w:rPr>
          <w:sz w:val="24"/>
          <w:szCs w:val="24"/>
        </w:rPr>
      </w:pPr>
      <w:r w:rsidRPr="00A86E57">
        <w:rPr>
          <w:sz w:val="24"/>
          <w:szCs w:val="24"/>
          <w:lang w:val="en-GB"/>
        </w:rPr>
        <w:t>effective leadership</w:t>
      </w:r>
    </w:p>
    <w:p w:rsidR="00801A4E" w:rsidRPr="00A86E57" w:rsidRDefault="00B83B87" w:rsidP="0055423A">
      <w:pPr>
        <w:numPr>
          <w:ilvl w:val="0"/>
          <w:numId w:val="3"/>
        </w:numPr>
        <w:rPr>
          <w:sz w:val="24"/>
          <w:szCs w:val="24"/>
        </w:rPr>
      </w:pPr>
      <w:r w:rsidRPr="00A86E57">
        <w:rPr>
          <w:sz w:val="24"/>
          <w:szCs w:val="24"/>
          <w:lang w:val="en-GB"/>
        </w:rPr>
        <w:t xml:space="preserve">working in partnership </w:t>
      </w:r>
    </w:p>
    <w:p w:rsidR="00801A4E" w:rsidRPr="00A86E57" w:rsidRDefault="00B83B87" w:rsidP="0055423A">
      <w:pPr>
        <w:numPr>
          <w:ilvl w:val="0"/>
          <w:numId w:val="3"/>
        </w:numPr>
        <w:rPr>
          <w:sz w:val="24"/>
          <w:szCs w:val="24"/>
        </w:rPr>
      </w:pPr>
      <w:r w:rsidRPr="00A86E57">
        <w:rPr>
          <w:sz w:val="24"/>
          <w:szCs w:val="24"/>
          <w:lang w:val="en-GB"/>
        </w:rPr>
        <w:t>appropriate capabilities</w:t>
      </w:r>
    </w:p>
    <w:p w:rsidR="0055423A" w:rsidRPr="00A86E57" w:rsidRDefault="0055423A" w:rsidP="0055423A">
      <w:pPr>
        <w:rPr>
          <w:sz w:val="24"/>
          <w:szCs w:val="24"/>
        </w:rPr>
      </w:pPr>
    </w:p>
    <w:p w:rsidR="0055423A" w:rsidRPr="00A86E57" w:rsidRDefault="0055423A" w:rsidP="0055423A">
      <w:pPr>
        <w:rPr>
          <w:sz w:val="24"/>
          <w:szCs w:val="24"/>
        </w:rPr>
      </w:pPr>
      <w:r w:rsidRPr="00A86E57">
        <w:rPr>
          <w:sz w:val="24"/>
          <w:szCs w:val="24"/>
        </w:rPr>
        <w:t>Key Expectations:</w:t>
      </w:r>
    </w:p>
    <w:p w:rsidR="00801A4E" w:rsidRPr="00A86E57" w:rsidRDefault="00B83B87" w:rsidP="0055423A">
      <w:pPr>
        <w:numPr>
          <w:ilvl w:val="0"/>
          <w:numId w:val="4"/>
        </w:numPr>
        <w:rPr>
          <w:sz w:val="24"/>
          <w:szCs w:val="24"/>
        </w:rPr>
      </w:pPr>
      <w:r w:rsidRPr="00A86E57">
        <w:rPr>
          <w:sz w:val="24"/>
          <w:szCs w:val="24"/>
        </w:rPr>
        <w:t>Risk Assessment</w:t>
      </w:r>
    </w:p>
    <w:p w:rsidR="00801A4E" w:rsidRDefault="00B83B87" w:rsidP="0055423A">
      <w:pPr>
        <w:numPr>
          <w:ilvl w:val="0"/>
          <w:numId w:val="4"/>
        </w:numPr>
        <w:rPr>
          <w:sz w:val="24"/>
          <w:szCs w:val="24"/>
        </w:rPr>
      </w:pPr>
      <w:r w:rsidRPr="00A86E57">
        <w:rPr>
          <w:sz w:val="24"/>
          <w:szCs w:val="24"/>
        </w:rPr>
        <w:t>Partnership Working</w:t>
      </w:r>
    </w:p>
    <w:p w:rsidR="00293B2A" w:rsidRPr="00A86E57" w:rsidRDefault="00293B2A" w:rsidP="0055423A">
      <w:pPr>
        <w:numPr>
          <w:ilvl w:val="0"/>
          <w:numId w:val="4"/>
        </w:numPr>
        <w:rPr>
          <w:sz w:val="24"/>
          <w:szCs w:val="24"/>
        </w:rPr>
      </w:pPr>
      <w:r>
        <w:rPr>
          <w:sz w:val="24"/>
          <w:szCs w:val="24"/>
        </w:rPr>
        <w:t>Action Plan</w:t>
      </w:r>
    </w:p>
    <w:p w:rsidR="00801A4E" w:rsidRPr="00A86E57" w:rsidRDefault="00B83B87" w:rsidP="0055423A">
      <w:pPr>
        <w:numPr>
          <w:ilvl w:val="0"/>
          <w:numId w:val="4"/>
        </w:numPr>
        <w:rPr>
          <w:sz w:val="24"/>
          <w:szCs w:val="24"/>
        </w:rPr>
      </w:pPr>
      <w:r w:rsidRPr="00A86E57">
        <w:rPr>
          <w:sz w:val="24"/>
          <w:szCs w:val="24"/>
        </w:rPr>
        <w:t>Staff Training</w:t>
      </w:r>
    </w:p>
    <w:p w:rsidR="00801A4E" w:rsidRDefault="00B83B87" w:rsidP="0055423A">
      <w:pPr>
        <w:numPr>
          <w:ilvl w:val="0"/>
          <w:numId w:val="4"/>
        </w:numPr>
        <w:rPr>
          <w:sz w:val="24"/>
          <w:szCs w:val="24"/>
        </w:rPr>
      </w:pPr>
      <w:r w:rsidRPr="00A86E57">
        <w:rPr>
          <w:sz w:val="24"/>
          <w:szCs w:val="24"/>
        </w:rPr>
        <w:t>IT Policies</w:t>
      </w:r>
    </w:p>
    <w:p w:rsidR="00293B2A" w:rsidRDefault="00293B2A" w:rsidP="0055423A">
      <w:pPr>
        <w:numPr>
          <w:ilvl w:val="0"/>
          <w:numId w:val="4"/>
        </w:numPr>
        <w:rPr>
          <w:sz w:val="24"/>
          <w:szCs w:val="24"/>
        </w:rPr>
      </w:pPr>
      <w:r>
        <w:rPr>
          <w:sz w:val="24"/>
          <w:szCs w:val="24"/>
        </w:rPr>
        <w:t>Welfare and Pastoral care / chaplaincy support</w:t>
      </w:r>
    </w:p>
    <w:p w:rsidR="00293B2A" w:rsidRDefault="00293B2A" w:rsidP="0055423A">
      <w:pPr>
        <w:numPr>
          <w:ilvl w:val="0"/>
          <w:numId w:val="4"/>
        </w:numPr>
        <w:rPr>
          <w:sz w:val="24"/>
          <w:szCs w:val="24"/>
        </w:rPr>
      </w:pPr>
      <w:r>
        <w:rPr>
          <w:sz w:val="24"/>
          <w:szCs w:val="24"/>
        </w:rPr>
        <w:t xml:space="preserve">External Speakers &amp; events   </w:t>
      </w:r>
    </w:p>
    <w:p w:rsidR="00AB4848" w:rsidRDefault="00B83B87" w:rsidP="00293B2A">
      <w:pPr>
        <w:numPr>
          <w:ilvl w:val="0"/>
          <w:numId w:val="4"/>
        </w:numPr>
        <w:rPr>
          <w:sz w:val="24"/>
          <w:szCs w:val="24"/>
        </w:rPr>
      </w:pPr>
      <w:r w:rsidRPr="00A86E57">
        <w:rPr>
          <w:sz w:val="24"/>
          <w:szCs w:val="24"/>
        </w:rPr>
        <w:t>Curriculum Development of Fundamental British Values</w:t>
      </w:r>
    </w:p>
    <w:p w:rsidR="00AB4848" w:rsidRDefault="00AB4848" w:rsidP="00AB4848">
      <w:pPr>
        <w:rPr>
          <w:sz w:val="24"/>
          <w:szCs w:val="24"/>
        </w:rPr>
      </w:pPr>
    </w:p>
    <w:p w:rsidR="00AB4848" w:rsidRPr="00AB4848" w:rsidRDefault="00AB4848" w:rsidP="00AB4848">
      <w:pPr>
        <w:rPr>
          <w:sz w:val="24"/>
          <w:szCs w:val="24"/>
        </w:rPr>
      </w:pPr>
    </w:p>
    <w:p w:rsidR="00293B2A" w:rsidRDefault="00293B2A" w:rsidP="00293B2A">
      <w:pPr>
        <w:ind w:left="720"/>
        <w:rPr>
          <w:sz w:val="24"/>
          <w:szCs w:val="24"/>
        </w:rPr>
      </w:pPr>
    </w:p>
    <w:p w:rsidR="0055423A" w:rsidRPr="00A86E57" w:rsidRDefault="0055423A" w:rsidP="0055423A">
      <w:pPr>
        <w:rPr>
          <w:sz w:val="24"/>
          <w:szCs w:val="24"/>
        </w:rPr>
      </w:pPr>
      <w:bookmarkStart w:id="0" w:name="_GoBack"/>
      <w:bookmarkEnd w:id="0"/>
    </w:p>
    <w:p w:rsidR="0055423A" w:rsidRDefault="0055423A" w:rsidP="0055423A">
      <w:pPr>
        <w:rPr>
          <w:b/>
          <w:sz w:val="28"/>
          <w:szCs w:val="28"/>
        </w:rPr>
      </w:pPr>
      <w:r w:rsidRPr="00293B2A">
        <w:rPr>
          <w:b/>
          <w:sz w:val="28"/>
          <w:szCs w:val="28"/>
        </w:rPr>
        <w:t>Guidance Documents</w:t>
      </w:r>
    </w:p>
    <w:p w:rsidR="00293B2A" w:rsidRPr="00293B2A" w:rsidRDefault="00293B2A" w:rsidP="0055423A">
      <w:pPr>
        <w:rPr>
          <w:b/>
          <w:sz w:val="28"/>
          <w:szCs w:val="28"/>
        </w:rPr>
      </w:pPr>
    </w:p>
    <w:p w:rsidR="0055423A" w:rsidRPr="00A86E57" w:rsidRDefault="0055423A" w:rsidP="0055423A">
      <w:pPr>
        <w:rPr>
          <w:sz w:val="24"/>
          <w:szCs w:val="24"/>
        </w:rPr>
      </w:pPr>
      <w:r w:rsidRPr="00A86E57">
        <w:rPr>
          <w:sz w:val="24"/>
          <w:szCs w:val="24"/>
        </w:rPr>
        <w:t>Prevent Duty Guidance (2015)</w:t>
      </w:r>
    </w:p>
    <w:p w:rsidR="0055423A" w:rsidRPr="00A86E57" w:rsidRDefault="00324CF7" w:rsidP="0055423A">
      <w:pPr>
        <w:rPr>
          <w:sz w:val="24"/>
          <w:szCs w:val="24"/>
        </w:rPr>
      </w:pPr>
      <w:hyperlink r:id="rId7" w:history="1">
        <w:r w:rsidR="0055423A" w:rsidRPr="00A86E57">
          <w:rPr>
            <w:rStyle w:val="Hyperlink"/>
            <w:sz w:val="24"/>
            <w:szCs w:val="24"/>
          </w:rPr>
          <w:t xml:space="preserve">Prevent Duty Guidance </w:t>
        </w:r>
      </w:hyperlink>
    </w:p>
    <w:p w:rsidR="0055423A" w:rsidRPr="00A86E57" w:rsidRDefault="0055423A" w:rsidP="0055423A">
      <w:pPr>
        <w:rPr>
          <w:sz w:val="24"/>
          <w:szCs w:val="24"/>
        </w:rPr>
      </w:pPr>
      <w:r w:rsidRPr="00A86E57">
        <w:rPr>
          <w:sz w:val="24"/>
          <w:szCs w:val="24"/>
        </w:rPr>
        <w:t>Common Inspection Framework (2015)</w:t>
      </w:r>
    </w:p>
    <w:p w:rsidR="0055423A" w:rsidRPr="00A86E57" w:rsidRDefault="00324CF7" w:rsidP="0055423A">
      <w:pPr>
        <w:rPr>
          <w:sz w:val="24"/>
          <w:szCs w:val="24"/>
        </w:rPr>
      </w:pPr>
      <w:hyperlink r:id="rId8" w:history="1">
        <w:r w:rsidR="0055423A" w:rsidRPr="00A86E57">
          <w:rPr>
            <w:rStyle w:val="Hyperlink"/>
            <w:sz w:val="24"/>
            <w:szCs w:val="24"/>
          </w:rPr>
          <w:t>CIF  (2015)</w:t>
        </w:r>
      </w:hyperlink>
    </w:p>
    <w:p w:rsidR="0055423A" w:rsidRDefault="0055423A" w:rsidP="0055423A">
      <w:pPr>
        <w:rPr>
          <w:sz w:val="24"/>
          <w:szCs w:val="24"/>
        </w:rPr>
      </w:pPr>
      <w:r w:rsidRPr="00A86E57">
        <w:rPr>
          <w:sz w:val="24"/>
          <w:szCs w:val="24"/>
        </w:rPr>
        <w:t>Inspecting Safeguarding in early years, education and skills Settings</w:t>
      </w:r>
    </w:p>
    <w:p w:rsidR="00293B2A" w:rsidRDefault="00293B2A" w:rsidP="0055423A">
      <w:pPr>
        <w:rPr>
          <w:sz w:val="24"/>
          <w:szCs w:val="24"/>
        </w:rPr>
      </w:pPr>
      <w:hyperlink r:id="rId9" w:history="1">
        <w:r w:rsidRPr="00293B2A">
          <w:rPr>
            <w:rStyle w:val="Hyperlink"/>
            <w:sz w:val="24"/>
            <w:szCs w:val="24"/>
          </w:rPr>
          <w:t>School inspection handbook</w:t>
        </w:r>
      </w:hyperlink>
    </w:p>
    <w:p w:rsidR="00293B2A" w:rsidRDefault="00293B2A" w:rsidP="0055423A">
      <w:pPr>
        <w:rPr>
          <w:sz w:val="24"/>
          <w:szCs w:val="24"/>
        </w:rPr>
      </w:pPr>
      <w:r>
        <w:rPr>
          <w:sz w:val="24"/>
          <w:szCs w:val="24"/>
        </w:rPr>
        <w:t>School inspection handbook</w:t>
      </w:r>
    </w:p>
    <w:p w:rsidR="00293B2A" w:rsidRDefault="00293B2A" w:rsidP="0055423A">
      <w:pPr>
        <w:rPr>
          <w:sz w:val="24"/>
          <w:szCs w:val="24"/>
        </w:rPr>
      </w:pPr>
      <w:hyperlink r:id="rId10" w:history="1">
        <w:r w:rsidRPr="00293B2A">
          <w:rPr>
            <w:rStyle w:val="Hyperlink"/>
            <w:sz w:val="24"/>
            <w:szCs w:val="24"/>
          </w:rPr>
          <w:t>Further education and skills inspection handbook</w:t>
        </w:r>
      </w:hyperlink>
    </w:p>
    <w:p w:rsidR="00293B2A" w:rsidRPr="00A86E57" w:rsidRDefault="00293B2A" w:rsidP="0055423A">
      <w:pPr>
        <w:rPr>
          <w:sz w:val="24"/>
          <w:szCs w:val="24"/>
        </w:rPr>
      </w:pPr>
      <w:r>
        <w:rPr>
          <w:sz w:val="24"/>
          <w:szCs w:val="24"/>
        </w:rPr>
        <w:t>Further Education and skills inspection handbook</w:t>
      </w:r>
    </w:p>
    <w:p w:rsidR="0055423A" w:rsidRPr="00A86E57" w:rsidRDefault="00324CF7" w:rsidP="0055423A">
      <w:pPr>
        <w:rPr>
          <w:sz w:val="24"/>
          <w:szCs w:val="24"/>
        </w:rPr>
      </w:pPr>
      <w:hyperlink r:id="rId11" w:history="1">
        <w:r w:rsidR="0055423A" w:rsidRPr="00A86E57">
          <w:rPr>
            <w:rStyle w:val="Hyperlink"/>
            <w:sz w:val="24"/>
            <w:szCs w:val="24"/>
          </w:rPr>
          <w:t>Guidance for Inspectors</w:t>
        </w:r>
      </w:hyperlink>
    </w:p>
    <w:p w:rsidR="0055423A" w:rsidRPr="00A86E57" w:rsidRDefault="0055423A" w:rsidP="0055423A">
      <w:pPr>
        <w:rPr>
          <w:sz w:val="24"/>
          <w:szCs w:val="24"/>
        </w:rPr>
      </w:pPr>
      <w:r w:rsidRPr="00A86E57">
        <w:rPr>
          <w:sz w:val="24"/>
          <w:szCs w:val="24"/>
        </w:rPr>
        <w:t>Keeping Children Safe in Education</w:t>
      </w:r>
    </w:p>
    <w:p w:rsidR="0055423A" w:rsidRPr="00A86E57" w:rsidRDefault="00324CF7" w:rsidP="0055423A">
      <w:pPr>
        <w:rPr>
          <w:sz w:val="24"/>
          <w:szCs w:val="24"/>
        </w:rPr>
      </w:pPr>
      <w:hyperlink r:id="rId12" w:history="1">
        <w:r w:rsidR="0055423A" w:rsidRPr="00A86E57">
          <w:rPr>
            <w:rStyle w:val="Hyperlink"/>
            <w:sz w:val="24"/>
            <w:szCs w:val="24"/>
          </w:rPr>
          <w:t>Keeping Children Safe in Education (July '15)</w:t>
        </w:r>
      </w:hyperlink>
    </w:p>
    <w:p w:rsidR="0055423A" w:rsidRPr="00A86E57" w:rsidRDefault="0055423A" w:rsidP="0055423A">
      <w:pPr>
        <w:rPr>
          <w:sz w:val="24"/>
          <w:szCs w:val="24"/>
        </w:rPr>
      </w:pPr>
      <w:r w:rsidRPr="00A86E57">
        <w:rPr>
          <w:sz w:val="24"/>
          <w:szCs w:val="24"/>
        </w:rPr>
        <w:t>Working Together to Safeguard Children (2015)</w:t>
      </w:r>
    </w:p>
    <w:p w:rsidR="0055423A" w:rsidRPr="00A86E57" w:rsidRDefault="00324CF7" w:rsidP="0055423A">
      <w:pPr>
        <w:rPr>
          <w:sz w:val="24"/>
          <w:szCs w:val="24"/>
        </w:rPr>
      </w:pPr>
      <w:hyperlink r:id="rId13" w:history="1">
        <w:r w:rsidR="0055423A" w:rsidRPr="00A86E57">
          <w:rPr>
            <w:rStyle w:val="Hyperlink"/>
            <w:sz w:val="24"/>
            <w:szCs w:val="24"/>
          </w:rPr>
          <w:t>Working Together (2015)</w:t>
        </w:r>
      </w:hyperlink>
    </w:p>
    <w:p w:rsidR="0055423A" w:rsidRPr="00A86E57" w:rsidRDefault="0055423A" w:rsidP="0055423A">
      <w:pPr>
        <w:rPr>
          <w:sz w:val="24"/>
          <w:szCs w:val="24"/>
        </w:rPr>
      </w:pPr>
      <w:r w:rsidRPr="00A86E57">
        <w:rPr>
          <w:sz w:val="24"/>
          <w:szCs w:val="24"/>
        </w:rPr>
        <w:t>Local Authority Guidance</w:t>
      </w:r>
    </w:p>
    <w:p w:rsidR="0055423A" w:rsidRPr="00A86E57" w:rsidRDefault="0055423A" w:rsidP="0055423A">
      <w:pPr>
        <w:rPr>
          <w:sz w:val="24"/>
          <w:szCs w:val="24"/>
        </w:rPr>
      </w:pPr>
    </w:p>
    <w:p w:rsidR="000F635E" w:rsidRPr="00A86E57" w:rsidRDefault="000F635E">
      <w:pPr>
        <w:rPr>
          <w:sz w:val="24"/>
          <w:szCs w:val="24"/>
        </w:rPr>
      </w:pPr>
    </w:p>
    <w:sectPr w:rsidR="000F635E" w:rsidRPr="00A86E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F7" w:rsidRDefault="00324CF7" w:rsidP="0055423A">
      <w:pPr>
        <w:spacing w:after="0" w:line="240" w:lineRule="auto"/>
      </w:pPr>
      <w:r>
        <w:separator/>
      </w:r>
    </w:p>
  </w:endnote>
  <w:endnote w:type="continuationSeparator" w:id="0">
    <w:p w:rsidR="00324CF7" w:rsidRDefault="00324CF7" w:rsidP="0055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F7" w:rsidRDefault="00324CF7" w:rsidP="0055423A">
      <w:pPr>
        <w:spacing w:after="0" w:line="240" w:lineRule="auto"/>
      </w:pPr>
      <w:r>
        <w:separator/>
      </w:r>
    </w:p>
  </w:footnote>
  <w:footnote w:type="continuationSeparator" w:id="0">
    <w:p w:rsidR="00324CF7" w:rsidRDefault="00324CF7" w:rsidP="00554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CB6"/>
    <w:multiLevelType w:val="hybridMultilevel"/>
    <w:tmpl w:val="6E7C131E"/>
    <w:lvl w:ilvl="0" w:tplc="E20EADC6">
      <w:start w:val="1"/>
      <w:numFmt w:val="bullet"/>
      <w:lvlText w:val="•"/>
      <w:lvlJc w:val="left"/>
      <w:pPr>
        <w:tabs>
          <w:tab w:val="num" w:pos="720"/>
        </w:tabs>
        <w:ind w:left="720" w:hanging="360"/>
      </w:pPr>
      <w:rPr>
        <w:rFonts w:ascii="Arial" w:hAnsi="Arial" w:hint="default"/>
      </w:rPr>
    </w:lvl>
    <w:lvl w:ilvl="1" w:tplc="F056C800" w:tentative="1">
      <w:start w:val="1"/>
      <w:numFmt w:val="bullet"/>
      <w:lvlText w:val="•"/>
      <w:lvlJc w:val="left"/>
      <w:pPr>
        <w:tabs>
          <w:tab w:val="num" w:pos="1440"/>
        </w:tabs>
        <w:ind w:left="1440" w:hanging="360"/>
      </w:pPr>
      <w:rPr>
        <w:rFonts w:ascii="Arial" w:hAnsi="Arial" w:hint="default"/>
      </w:rPr>
    </w:lvl>
    <w:lvl w:ilvl="2" w:tplc="54D27DA8" w:tentative="1">
      <w:start w:val="1"/>
      <w:numFmt w:val="bullet"/>
      <w:lvlText w:val="•"/>
      <w:lvlJc w:val="left"/>
      <w:pPr>
        <w:tabs>
          <w:tab w:val="num" w:pos="2160"/>
        </w:tabs>
        <w:ind w:left="2160" w:hanging="360"/>
      </w:pPr>
      <w:rPr>
        <w:rFonts w:ascii="Arial" w:hAnsi="Arial" w:hint="default"/>
      </w:rPr>
    </w:lvl>
    <w:lvl w:ilvl="3" w:tplc="01709924" w:tentative="1">
      <w:start w:val="1"/>
      <w:numFmt w:val="bullet"/>
      <w:lvlText w:val="•"/>
      <w:lvlJc w:val="left"/>
      <w:pPr>
        <w:tabs>
          <w:tab w:val="num" w:pos="2880"/>
        </w:tabs>
        <w:ind w:left="2880" w:hanging="360"/>
      </w:pPr>
      <w:rPr>
        <w:rFonts w:ascii="Arial" w:hAnsi="Arial" w:hint="default"/>
      </w:rPr>
    </w:lvl>
    <w:lvl w:ilvl="4" w:tplc="A486356C" w:tentative="1">
      <w:start w:val="1"/>
      <w:numFmt w:val="bullet"/>
      <w:lvlText w:val="•"/>
      <w:lvlJc w:val="left"/>
      <w:pPr>
        <w:tabs>
          <w:tab w:val="num" w:pos="3600"/>
        </w:tabs>
        <w:ind w:left="3600" w:hanging="360"/>
      </w:pPr>
      <w:rPr>
        <w:rFonts w:ascii="Arial" w:hAnsi="Arial" w:hint="default"/>
      </w:rPr>
    </w:lvl>
    <w:lvl w:ilvl="5" w:tplc="DAFC8322" w:tentative="1">
      <w:start w:val="1"/>
      <w:numFmt w:val="bullet"/>
      <w:lvlText w:val="•"/>
      <w:lvlJc w:val="left"/>
      <w:pPr>
        <w:tabs>
          <w:tab w:val="num" w:pos="4320"/>
        </w:tabs>
        <w:ind w:left="4320" w:hanging="360"/>
      </w:pPr>
      <w:rPr>
        <w:rFonts w:ascii="Arial" w:hAnsi="Arial" w:hint="default"/>
      </w:rPr>
    </w:lvl>
    <w:lvl w:ilvl="6" w:tplc="21DC42B4" w:tentative="1">
      <w:start w:val="1"/>
      <w:numFmt w:val="bullet"/>
      <w:lvlText w:val="•"/>
      <w:lvlJc w:val="left"/>
      <w:pPr>
        <w:tabs>
          <w:tab w:val="num" w:pos="5040"/>
        </w:tabs>
        <w:ind w:left="5040" w:hanging="360"/>
      </w:pPr>
      <w:rPr>
        <w:rFonts w:ascii="Arial" w:hAnsi="Arial" w:hint="default"/>
      </w:rPr>
    </w:lvl>
    <w:lvl w:ilvl="7" w:tplc="712AF880" w:tentative="1">
      <w:start w:val="1"/>
      <w:numFmt w:val="bullet"/>
      <w:lvlText w:val="•"/>
      <w:lvlJc w:val="left"/>
      <w:pPr>
        <w:tabs>
          <w:tab w:val="num" w:pos="5760"/>
        </w:tabs>
        <w:ind w:left="5760" w:hanging="360"/>
      </w:pPr>
      <w:rPr>
        <w:rFonts w:ascii="Arial" w:hAnsi="Arial" w:hint="default"/>
      </w:rPr>
    </w:lvl>
    <w:lvl w:ilvl="8" w:tplc="11BE03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834E3"/>
    <w:multiLevelType w:val="hybridMultilevel"/>
    <w:tmpl w:val="5746B15E"/>
    <w:lvl w:ilvl="0" w:tplc="EB107DC2">
      <w:start w:val="1"/>
      <w:numFmt w:val="bullet"/>
      <w:lvlText w:val="•"/>
      <w:lvlJc w:val="left"/>
      <w:pPr>
        <w:tabs>
          <w:tab w:val="num" w:pos="720"/>
        </w:tabs>
        <w:ind w:left="720" w:hanging="360"/>
      </w:pPr>
      <w:rPr>
        <w:rFonts w:ascii="Arial" w:hAnsi="Arial" w:hint="default"/>
      </w:rPr>
    </w:lvl>
    <w:lvl w:ilvl="1" w:tplc="0B728D68" w:tentative="1">
      <w:start w:val="1"/>
      <w:numFmt w:val="bullet"/>
      <w:lvlText w:val="•"/>
      <w:lvlJc w:val="left"/>
      <w:pPr>
        <w:tabs>
          <w:tab w:val="num" w:pos="1440"/>
        </w:tabs>
        <w:ind w:left="1440" w:hanging="360"/>
      </w:pPr>
      <w:rPr>
        <w:rFonts w:ascii="Arial" w:hAnsi="Arial" w:hint="default"/>
      </w:rPr>
    </w:lvl>
    <w:lvl w:ilvl="2" w:tplc="3D30CA04" w:tentative="1">
      <w:start w:val="1"/>
      <w:numFmt w:val="bullet"/>
      <w:lvlText w:val="•"/>
      <w:lvlJc w:val="left"/>
      <w:pPr>
        <w:tabs>
          <w:tab w:val="num" w:pos="2160"/>
        </w:tabs>
        <w:ind w:left="2160" w:hanging="360"/>
      </w:pPr>
      <w:rPr>
        <w:rFonts w:ascii="Arial" w:hAnsi="Arial" w:hint="default"/>
      </w:rPr>
    </w:lvl>
    <w:lvl w:ilvl="3" w:tplc="AA1EBA5E" w:tentative="1">
      <w:start w:val="1"/>
      <w:numFmt w:val="bullet"/>
      <w:lvlText w:val="•"/>
      <w:lvlJc w:val="left"/>
      <w:pPr>
        <w:tabs>
          <w:tab w:val="num" w:pos="2880"/>
        </w:tabs>
        <w:ind w:left="2880" w:hanging="360"/>
      </w:pPr>
      <w:rPr>
        <w:rFonts w:ascii="Arial" w:hAnsi="Arial" w:hint="default"/>
      </w:rPr>
    </w:lvl>
    <w:lvl w:ilvl="4" w:tplc="1AACB166" w:tentative="1">
      <w:start w:val="1"/>
      <w:numFmt w:val="bullet"/>
      <w:lvlText w:val="•"/>
      <w:lvlJc w:val="left"/>
      <w:pPr>
        <w:tabs>
          <w:tab w:val="num" w:pos="3600"/>
        </w:tabs>
        <w:ind w:left="3600" w:hanging="360"/>
      </w:pPr>
      <w:rPr>
        <w:rFonts w:ascii="Arial" w:hAnsi="Arial" w:hint="default"/>
      </w:rPr>
    </w:lvl>
    <w:lvl w:ilvl="5" w:tplc="2CFAC39A" w:tentative="1">
      <w:start w:val="1"/>
      <w:numFmt w:val="bullet"/>
      <w:lvlText w:val="•"/>
      <w:lvlJc w:val="left"/>
      <w:pPr>
        <w:tabs>
          <w:tab w:val="num" w:pos="4320"/>
        </w:tabs>
        <w:ind w:left="4320" w:hanging="360"/>
      </w:pPr>
      <w:rPr>
        <w:rFonts w:ascii="Arial" w:hAnsi="Arial" w:hint="default"/>
      </w:rPr>
    </w:lvl>
    <w:lvl w:ilvl="6" w:tplc="945299DC" w:tentative="1">
      <w:start w:val="1"/>
      <w:numFmt w:val="bullet"/>
      <w:lvlText w:val="•"/>
      <w:lvlJc w:val="left"/>
      <w:pPr>
        <w:tabs>
          <w:tab w:val="num" w:pos="5040"/>
        </w:tabs>
        <w:ind w:left="5040" w:hanging="360"/>
      </w:pPr>
      <w:rPr>
        <w:rFonts w:ascii="Arial" w:hAnsi="Arial" w:hint="default"/>
      </w:rPr>
    </w:lvl>
    <w:lvl w:ilvl="7" w:tplc="18CA7CD2" w:tentative="1">
      <w:start w:val="1"/>
      <w:numFmt w:val="bullet"/>
      <w:lvlText w:val="•"/>
      <w:lvlJc w:val="left"/>
      <w:pPr>
        <w:tabs>
          <w:tab w:val="num" w:pos="5760"/>
        </w:tabs>
        <w:ind w:left="5760" w:hanging="360"/>
      </w:pPr>
      <w:rPr>
        <w:rFonts w:ascii="Arial" w:hAnsi="Arial" w:hint="default"/>
      </w:rPr>
    </w:lvl>
    <w:lvl w:ilvl="8" w:tplc="194003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7637BD"/>
    <w:multiLevelType w:val="hybridMultilevel"/>
    <w:tmpl w:val="17B4CDC2"/>
    <w:lvl w:ilvl="0" w:tplc="4B56AA5E">
      <w:start w:val="1"/>
      <w:numFmt w:val="bullet"/>
      <w:lvlText w:val="•"/>
      <w:lvlJc w:val="left"/>
      <w:pPr>
        <w:tabs>
          <w:tab w:val="num" w:pos="720"/>
        </w:tabs>
        <w:ind w:left="720" w:hanging="360"/>
      </w:pPr>
      <w:rPr>
        <w:rFonts w:ascii="Arial" w:hAnsi="Arial" w:hint="default"/>
      </w:rPr>
    </w:lvl>
    <w:lvl w:ilvl="1" w:tplc="4B06B32E" w:tentative="1">
      <w:start w:val="1"/>
      <w:numFmt w:val="bullet"/>
      <w:lvlText w:val="•"/>
      <w:lvlJc w:val="left"/>
      <w:pPr>
        <w:tabs>
          <w:tab w:val="num" w:pos="1440"/>
        </w:tabs>
        <w:ind w:left="1440" w:hanging="360"/>
      </w:pPr>
      <w:rPr>
        <w:rFonts w:ascii="Arial" w:hAnsi="Arial" w:hint="default"/>
      </w:rPr>
    </w:lvl>
    <w:lvl w:ilvl="2" w:tplc="8AC06706" w:tentative="1">
      <w:start w:val="1"/>
      <w:numFmt w:val="bullet"/>
      <w:lvlText w:val="•"/>
      <w:lvlJc w:val="left"/>
      <w:pPr>
        <w:tabs>
          <w:tab w:val="num" w:pos="2160"/>
        </w:tabs>
        <w:ind w:left="2160" w:hanging="360"/>
      </w:pPr>
      <w:rPr>
        <w:rFonts w:ascii="Arial" w:hAnsi="Arial" w:hint="default"/>
      </w:rPr>
    </w:lvl>
    <w:lvl w:ilvl="3" w:tplc="F280A71C" w:tentative="1">
      <w:start w:val="1"/>
      <w:numFmt w:val="bullet"/>
      <w:lvlText w:val="•"/>
      <w:lvlJc w:val="left"/>
      <w:pPr>
        <w:tabs>
          <w:tab w:val="num" w:pos="2880"/>
        </w:tabs>
        <w:ind w:left="2880" w:hanging="360"/>
      </w:pPr>
      <w:rPr>
        <w:rFonts w:ascii="Arial" w:hAnsi="Arial" w:hint="default"/>
      </w:rPr>
    </w:lvl>
    <w:lvl w:ilvl="4" w:tplc="5192C064" w:tentative="1">
      <w:start w:val="1"/>
      <w:numFmt w:val="bullet"/>
      <w:lvlText w:val="•"/>
      <w:lvlJc w:val="left"/>
      <w:pPr>
        <w:tabs>
          <w:tab w:val="num" w:pos="3600"/>
        </w:tabs>
        <w:ind w:left="3600" w:hanging="360"/>
      </w:pPr>
      <w:rPr>
        <w:rFonts w:ascii="Arial" w:hAnsi="Arial" w:hint="default"/>
      </w:rPr>
    </w:lvl>
    <w:lvl w:ilvl="5" w:tplc="729AFF1E" w:tentative="1">
      <w:start w:val="1"/>
      <w:numFmt w:val="bullet"/>
      <w:lvlText w:val="•"/>
      <w:lvlJc w:val="left"/>
      <w:pPr>
        <w:tabs>
          <w:tab w:val="num" w:pos="4320"/>
        </w:tabs>
        <w:ind w:left="4320" w:hanging="360"/>
      </w:pPr>
      <w:rPr>
        <w:rFonts w:ascii="Arial" w:hAnsi="Arial" w:hint="default"/>
      </w:rPr>
    </w:lvl>
    <w:lvl w:ilvl="6" w:tplc="CAAEEA24" w:tentative="1">
      <w:start w:val="1"/>
      <w:numFmt w:val="bullet"/>
      <w:lvlText w:val="•"/>
      <w:lvlJc w:val="left"/>
      <w:pPr>
        <w:tabs>
          <w:tab w:val="num" w:pos="5040"/>
        </w:tabs>
        <w:ind w:left="5040" w:hanging="360"/>
      </w:pPr>
      <w:rPr>
        <w:rFonts w:ascii="Arial" w:hAnsi="Arial" w:hint="default"/>
      </w:rPr>
    </w:lvl>
    <w:lvl w:ilvl="7" w:tplc="0206F430" w:tentative="1">
      <w:start w:val="1"/>
      <w:numFmt w:val="bullet"/>
      <w:lvlText w:val="•"/>
      <w:lvlJc w:val="left"/>
      <w:pPr>
        <w:tabs>
          <w:tab w:val="num" w:pos="5760"/>
        </w:tabs>
        <w:ind w:left="5760" w:hanging="360"/>
      </w:pPr>
      <w:rPr>
        <w:rFonts w:ascii="Arial" w:hAnsi="Arial" w:hint="default"/>
      </w:rPr>
    </w:lvl>
    <w:lvl w:ilvl="8" w:tplc="9EAE0A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B706BBC"/>
    <w:multiLevelType w:val="hybridMultilevel"/>
    <w:tmpl w:val="BA1C74A6"/>
    <w:lvl w:ilvl="0" w:tplc="4B580626">
      <w:start w:val="1"/>
      <w:numFmt w:val="bullet"/>
      <w:lvlText w:val="•"/>
      <w:lvlJc w:val="left"/>
      <w:pPr>
        <w:tabs>
          <w:tab w:val="num" w:pos="720"/>
        </w:tabs>
        <w:ind w:left="720" w:hanging="360"/>
      </w:pPr>
      <w:rPr>
        <w:rFonts w:ascii="Arial" w:hAnsi="Arial" w:hint="default"/>
      </w:rPr>
    </w:lvl>
    <w:lvl w:ilvl="1" w:tplc="3D0A0638" w:tentative="1">
      <w:start w:val="1"/>
      <w:numFmt w:val="bullet"/>
      <w:lvlText w:val="•"/>
      <w:lvlJc w:val="left"/>
      <w:pPr>
        <w:tabs>
          <w:tab w:val="num" w:pos="1440"/>
        </w:tabs>
        <w:ind w:left="1440" w:hanging="360"/>
      </w:pPr>
      <w:rPr>
        <w:rFonts w:ascii="Arial" w:hAnsi="Arial" w:hint="default"/>
      </w:rPr>
    </w:lvl>
    <w:lvl w:ilvl="2" w:tplc="08D088E8" w:tentative="1">
      <w:start w:val="1"/>
      <w:numFmt w:val="bullet"/>
      <w:lvlText w:val="•"/>
      <w:lvlJc w:val="left"/>
      <w:pPr>
        <w:tabs>
          <w:tab w:val="num" w:pos="2160"/>
        </w:tabs>
        <w:ind w:left="2160" w:hanging="360"/>
      </w:pPr>
      <w:rPr>
        <w:rFonts w:ascii="Arial" w:hAnsi="Arial" w:hint="default"/>
      </w:rPr>
    </w:lvl>
    <w:lvl w:ilvl="3" w:tplc="99363BE0" w:tentative="1">
      <w:start w:val="1"/>
      <w:numFmt w:val="bullet"/>
      <w:lvlText w:val="•"/>
      <w:lvlJc w:val="left"/>
      <w:pPr>
        <w:tabs>
          <w:tab w:val="num" w:pos="2880"/>
        </w:tabs>
        <w:ind w:left="2880" w:hanging="360"/>
      </w:pPr>
      <w:rPr>
        <w:rFonts w:ascii="Arial" w:hAnsi="Arial" w:hint="default"/>
      </w:rPr>
    </w:lvl>
    <w:lvl w:ilvl="4" w:tplc="638E9E20" w:tentative="1">
      <w:start w:val="1"/>
      <w:numFmt w:val="bullet"/>
      <w:lvlText w:val="•"/>
      <w:lvlJc w:val="left"/>
      <w:pPr>
        <w:tabs>
          <w:tab w:val="num" w:pos="3600"/>
        </w:tabs>
        <w:ind w:left="3600" w:hanging="360"/>
      </w:pPr>
      <w:rPr>
        <w:rFonts w:ascii="Arial" w:hAnsi="Arial" w:hint="default"/>
      </w:rPr>
    </w:lvl>
    <w:lvl w:ilvl="5" w:tplc="CC6CEE26" w:tentative="1">
      <w:start w:val="1"/>
      <w:numFmt w:val="bullet"/>
      <w:lvlText w:val="•"/>
      <w:lvlJc w:val="left"/>
      <w:pPr>
        <w:tabs>
          <w:tab w:val="num" w:pos="4320"/>
        </w:tabs>
        <w:ind w:left="4320" w:hanging="360"/>
      </w:pPr>
      <w:rPr>
        <w:rFonts w:ascii="Arial" w:hAnsi="Arial" w:hint="default"/>
      </w:rPr>
    </w:lvl>
    <w:lvl w:ilvl="6" w:tplc="B8EA8AB8" w:tentative="1">
      <w:start w:val="1"/>
      <w:numFmt w:val="bullet"/>
      <w:lvlText w:val="•"/>
      <w:lvlJc w:val="left"/>
      <w:pPr>
        <w:tabs>
          <w:tab w:val="num" w:pos="5040"/>
        </w:tabs>
        <w:ind w:left="5040" w:hanging="360"/>
      </w:pPr>
      <w:rPr>
        <w:rFonts w:ascii="Arial" w:hAnsi="Arial" w:hint="default"/>
      </w:rPr>
    </w:lvl>
    <w:lvl w:ilvl="7" w:tplc="46DE1D56" w:tentative="1">
      <w:start w:val="1"/>
      <w:numFmt w:val="bullet"/>
      <w:lvlText w:val="•"/>
      <w:lvlJc w:val="left"/>
      <w:pPr>
        <w:tabs>
          <w:tab w:val="num" w:pos="5760"/>
        </w:tabs>
        <w:ind w:left="5760" w:hanging="360"/>
      </w:pPr>
      <w:rPr>
        <w:rFonts w:ascii="Arial" w:hAnsi="Arial" w:hint="default"/>
      </w:rPr>
    </w:lvl>
    <w:lvl w:ilvl="8" w:tplc="EE98BDF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3A"/>
    <w:rsid w:val="000F635E"/>
    <w:rsid w:val="00293B2A"/>
    <w:rsid w:val="00324CF7"/>
    <w:rsid w:val="0055423A"/>
    <w:rsid w:val="00801A4E"/>
    <w:rsid w:val="00A86E57"/>
    <w:rsid w:val="00AB4848"/>
    <w:rsid w:val="00B83B87"/>
    <w:rsid w:val="00CB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BE882-CF2C-4AEA-89C2-4A55F28B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2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423A"/>
    <w:rPr>
      <w:color w:val="0563C1" w:themeColor="hyperlink"/>
      <w:u w:val="single"/>
    </w:rPr>
  </w:style>
  <w:style w:type="paragraph" w:styleId="Header">
    <w:name w:val="header"/>
    <w:basedOn w:val="Normal"/>
    <w:link w:val="HeaderChar"/>
    <w:uiPriority w:val="99"/>
    <w:unhideWhenUsed/>
    <w:rsid w:val="00554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3A"/>
  </w:style>
  <w:style w:type="paragraph" w:styleId="Footer">
    <w:name w:val="footer"/>
    <w:basedOn w:val="Normal"/>
    <w:link w:val="FooterChar"/>
    <w:uiPriority w:val="99"/>
    <w:unhideWhenUsed/>
    <w:rsid w:val="00554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3A"/>
  </w:style>
  <w:style w:type="paragraph" w:styleId="ListParagraph">
    <w:name w:val="List Paragraph"/>
    <w:basedOn w:val="Normal"/>
    <w:uiPriority w:val="34"/>
    <w:qFormat/>
    <w:rsid w:val="00554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4498">
      <w:bodyDiv w:val="1"/>
      <w:marLeft w:val="0"/>
      <w:marRight w:val="0"/>
      <w:marTop w:val="0"/>
      <w:marBottom w:val="0"/>
      <w:divBdr>
        <w:top w:val="none" w:sz="0" w:space="0" w:color="auto"/>
        <w:left w:val="none" w:sz="0" w:space="0" w:color="auto"/>
        <w:bottom w:val="none" w:sz="0" w:space="0" w:color="auto"/>
        <w:right w:val="none" w:sz="0" w:space="0" w:color="auto"/>
      </w:divBdr>
    </w:div>
    <w:div w:id="219484310">
      <w:bodyDiv w:val="1"/>
      <w:marLeft w:val="0"/>
      <w:marRight w:val="0"/>
      <w:marTop w:val="0"/>
      <w:marBottom w:val="0"/>
      <w:divBdr>
        <w:top w:val="none" w:sz="0" w:space="0" w:color="auto"/>
        <w:left w:val="none" w:sz="0" w:space="0" w:color="auto"/>
        <w:bottom w:val="none" w:sz="0" w:space="0" w:color="auto"/>
        <w:right w:val="none" w:sz="0" w:space="0" w:color="auto"/>
      </w:divBdr>
    </w:div>
    <w:div w:id="290790647">
      <w:bodyDiv w:val="1"/>
      <w:marLeft w:val="0"/>
      <w:marRight w:val="0"/>
      <w:marTop w:val="0"/>
      <w:marBottom w:val="0"/>
      <w:divBdr>
        <w:top w:val="none" w:sz="0" w:space="0" w:color="auto"/>
        <w:left w:val="none" w:sz="0" w:space="0" w:color="auto"/>
        <w:bottom w:val="none" w:sz="0" w:space="0" w:color="auto"/>
        <w:right w:val="none" w:sz="0" w:space="0" w:color="auto"/>
      </w:divBdr>
    </w:div>
    <w:div w:id="510217736">
      <w:bodyDiv w:val="1"/>
      <w:marLeft w:val="0"/>
      <w:marRight w:val="0"/>
      <w:marTop w:val="0"/>
      <w:marBottom w:val="0"/>
      <w:divBdr>
        <w:top w:val="none" w:sz="0" w:space="0" w:color="auto"/>
        <w:left w:val="none" w:sz="0" w:space="0" w:color="auto"/>
        <w:bottom w:val="none" w:sz="0" w:space="0" w:color="auto"/>
        <w:right w:val="none" w:sz="0" w:space="0" w:color="auto"/>
      </w:divBdr>
    </w:div>
    <w:div w:id="1199506999">
      <w:bodyDiv w:val="1"/>
      <w:marLeft w:val="0"/>
      <w:marRight w:val="0"/>
      <w:marTop w:val="0"/>
      <w:marBottom w:val="0"/>
      <w:divBdr>
        <w:top w:val="none" w:sz="0" w:space="0" w:color="auto"/>
        <w:left w:val="none" w:sz="0" w:space="0" w:color="auto"/>
        <w:bottom w:val="none" w:sz="0" w:space="0" w:color="auto"/>
        <w:right w:val="none" w:sz="0" w:space="0" w:color="auto"/>
      </w:divBdr>
      <w:divsChild>
        <w:div w:id="547911921">
          <w:marLeft w:val="446"/>
          <w:marRight w:val="0"/>
          <w:marTop w:val="0"/>
          <w:marBottom w:val="0"/>
          <w:divBdr>
            <w:top w:val="none" w:sz="0" w:space="0" w:color="auto"/>
            <w:left w:val="none" w:sz="0" w:space="0" w:color="auto"/>
            <w:bottom w:val="none" w:sz="0" w:space="0" w:color="auto"/>
            <w:right w:val="none" w:sz="0" w:space="0" w:color="auto"/>
          </w:divBdr>
        </w:div>
        <w:div w:id="692875755">
          <w:marLeft w:val="446"/>
          <w:marRight w:val="0"/>
          <w:marTop w:val="0"/>
          <w:marBottom w:val="0"/>
          <w:divBdr>
            <w:top w:val="none" w:sz="0" w:space="0" w:color="auto"/>
            <w:left w:val="none" w:sz="0" w:space="0" w:color="auto"/>
            <w:bottom w:val="none" w:sz="0" w:space="0" w:color="auto"/>
            <w:right w:val="none" w:sz="0" w:space="0" w:color="auto"/>
          </w:divBdr>
        </w:div>
        <w:div w:id="2026132245">
          <w:marLeft w:val="446"/>
          <w:marRight w:val="0"/>
          <w:marTop w:val="0"/>
          <w:marBottom w:val="0"/>
          <w:divBdr>
            <w:top w:val="none" w:sz="0" w:space="0" w:color="auto"/>
            <w:left w:val="none" w:sz="0" w:space="0" w:color="auto"/>
            <w:bottom w:val="none" w:sz="0" w:space="0" w:color="auto"/>
            <w:right w:val="none" w:sz="0" w:space="0" w:color="auto"/>
          </w:divBdr>
        </w:div>
        <w:div w:id="14503794">
          <w:marLeft w:val="446"/>
          <w:marRight w:val="0"/>
          <w:marTop w:val="0"/>
          <w:marBottom w:val="0"/>
          <w:divBdr>
            <w:top w:val="none" w:sz="0" w:space="0" w:color="auto"/>
            <w:left w:val="none" w:sz="0" w:space="0" w:color="auto"/>
            <w:bottom w:val="none" w:sz="0" w:space="0" w:color="auto"/>
            <w:right w:val="none" w:sz="0" w:space="0" w:color="auto"/>
          </w:divBdr>
        </w:div>
        <w:div w:id="323317692">
          <w:marLeft w:val="446"/>
          <w:marRight w:val="0"/>
          <w:marTop w:val="0"/>
          <w:marBottom w:val="0"/>
          <w:divBdr>
            <w:top w:val="none" w:sz="0" w:space="0" w:color="auto"/>
            <w:left w:val="none" w:sz="0" w:space="0" w:color="auto"/>
            <w:bottom w:val="none" w:sz="0" w:space="0" w:color="auto"/>
            <w:right w:val="none" w:sz="0" w:space="0" w:color="auto"/>
          </w:divBdr>
        </w:div>
        <w:div w:id="493642177">
          <w:marLeft w:val="446"/>
          <w:marRight w:val="0"/>
          <w:marTop w:val="0"/>
          <w:marBottom w:val="0"/>
          <w:divBdr>
            <w:top w:val="none" w:sz="0" w:space="0" w:color="auto"/>
            <w:left w:val="none" w:sz="0" w:space="0" w:color="auto"/>
            <w:bottom w:val="none" w:sz="0" w:space="0" w:color="auto"/>
            <w:right w:val="none" w:sz="0" w:space="0" w:color="auto"/>
          </w:divBdr>
        </w:div>
      </w:divsChild>
    </w:div>
    <w:div w:id="1221331064">
      <w:bodyDiv w:val="1"/>
      <w:marLeft w:val="0"/>
      <w:marRight w:val="0"/>
      <w:marTop w:val="0"/>
      <w:marBottom w:val="0"/>
      <w:divBdr>
        <w:top w:val="none" w:sz="0" w:space="0" w:color="auto"/>
        <w:left w:val="none" w:sz="0" w:space="0" w:color="auto"/>
        <w:bottom w:val="none" w:sz="0" w:space="0" w:color="auto"/>
        <w:right w:val="none" w:sz="0" w:space="0" w:color="auto"/>
      </w:divBdr>
    </w:div>
    <w:div w:id="1466047593">
      <w:bodyDiv w:val="1"/>
      <w:marLeft w:val="0"/>
      <w:marRight w:val="0"/>
      <w:marTop w:val="0"/>
      <w:marBottom w:val="0"/>
      <w:divBdr>
        <w:top w:val="none" w:sz="0" w:space="0" w:color="auto"/>
        <w:left w:val="none" w:sz="0" w:space="0" w:color="auto"/>
        <w:bottom w:val="none" w:sz="0" w:space="0" w:color="auto"/>
        <w:right w:val="none" w:sz="0" w:space="0" w:color="auto"/>
      </w:divBdr>
      <w:divsChild>
        <w:div w:id="1451513741">
          <w:marLeft w:val="547"/>
          <w:marRight w:val="0"/>
          <w:marTop w:val="0"/>
          <w:marBottom w:val="0"/>
          <w:divBdr>
            <w:top w:val="none" w:sz="0" w:space="0" w:color="auto"/>
            <w:left w:val="none" w:sz="0" w:space="0" w:color="auto"/>
            <w:bottom w:val="none" w:sz="0" w:space="0" w:color="auto"/>
            <w:right w:val="none" w:sz="0" w:space="0" w:color="auto"/>
          </w:divBdr>
        </w:div>
        <w:div w:id="1773233883">
          <w:marLeft w:val="547"/>
          <w:marRight w:val="0"/>
          <w:marTop w:val="0"/>
          <w:marBottom w:val="0"/>
          <w:divBdr>
            <w:top w:val="none" w:sz="0" w:space="0" w:color="auto"/>
            <w:left w:val="none" w:sz="0" w:space="0" w:color="auto"/>
            <w:bottom w:val="none" w:sz="0" w:space="0" w:color="auto"/>
            <w:right w:val="none" w:sz="0" w:space="0" w:color="auto"/>
          </w:divBdr>
        </w:div>
        <w:div w:id="262305654">
          <w:marLeft w:val="547"/>
          <w:marRight w:val="0"/>
          <w:marTop w:val="0"/>
          <w:marBottom w:val="0"/>
          <w:divBdr>
            <w:top w:val="none" w:sz="0" w:space="0" w:color="auto"/>
            <w:left w:val="none" w:sz="0" w:space="0" w:color="auto"/>
            <w:bottom w:val="none" w:sz="0" w:space="0" w:color="auto"/>
            <w:right w:val="none" w:sz="0" w:space="0" w:color="auto"/>
          </w:divBdr>
        </w:div>
        <w:div w:id="721488642">
          <w:marLeft w:val="547"/>
          <w:marRight w:val="0"/>
          <w:marTop w:val="0"/>
          <w:marBottom w:val="0"/>
          <w:divBdr>
            <w:top w:val="none" w:sz="0" w:space="0" w:color="auto"/>
            <w:left w:val="none" w:sz="0" w:space="0" w:color="auto"/>
            <w:bottom w:val="none" w:sz="0" w:space="0" w:color="auto"/>
            <w:right w:val="none" w:sz="0" w:space="0" w:color="auto"/>
          </w:divBdr>
        </w:div>
      </w:divsChild>
    </w:div>
    <w:div w:id="1620069074">
      <w:bodyDiv w:val="1"/>
      <w:marLeft w:val="0"/>
      <w:marRight w:val="0"/>
      <w:marTop w:val="0"/>
      <w:marBottom w:val="0"/>
      <w:divBdr>
        <w:top w:val="none" w:sz="0" w:space="0" w:color="auto"/>
        <w:left w:val="none" w:sz="0" w:space="0" w:color="auto"/>
        <w:bottom w:val="none" w:sz="0" w:space="0" w:color="auto"/>
        <w:right w:val="none" w:sz="0" w:space="0" w:color="auto"/>
      </w:divBdr>
    </w:div>
    <w:div w:id="1899628484">
      <w:bodyDiv w:val="1"/>
      <w:marLeft w:val="0"/>
      <w:marRight w:val="0"/>
      <w:marTop w:val="0"/>
      <w:marBottom w:val="0"/>
      <w:divBdr>
        <w:top w:val="none" w:sz="0" w:space="0" w:color="auto"/>
        <w:left w:val="none" w:sz="0" w:space="0" w:color="auto"/>
        <w:bottom w:val="none" w:sz="0" w:space="0" w:color="auto"/>
        <w:right w:val="none" w:sz="0" w:space="0" w:color="auto"/>
      </w:divBdr>
      <w:divsChild>
        <w:div w:id="173688756">
          <w:marLeft w:val="446"/>
          <w:marRight w:val="0"/>
          <w:marTop w:val="0"/>
          <w:marBottom w:val="0"/>
          <w:divBdr>
            <w:top w:val="none" w:sz="0" w:space="0" w:color="auto"/>
            <w:left w:val="none" w:sz="0" w:space="0" w:color="auto"/>
            <w:bottom w:val="none" w:sz="0" w:space="0" w:color="auto"/>
            <w:right w:val="none" w:sz="0" w:space="0" w:color="auto"/>
          </w:divBdr>
        </w:div>
        <w:div w:id="1216047862">
          <w:marLeft w:val="446"/>
          <w:marRight w:val="0"/>
          <w:marTop w:val="0"/>
          <w:marBottom w:val="0"/>
          <w:divBdr>
            <w:top w:val="none" w:sz="0" w:space="0" w:color="auto"/>
            <w:left w:val="none" w:sz="0" w:space="0" w:color="auto"/>
            <w:bottom w:val="none" w:sz="0" w:space="0" w:color="auto"/>
            <w:right w:val="none" w:sz="0" w:space="0" w:color="auto"/>
          </w:divBdr>
        </w:div>
        <w:div w:id="1718965484">
          <w:marLeft w:val="446"/>
          <w:marRight w:val="0"/>
          <w:marTop w:val="0"/>
          <w:marBottom w:val="0"/>
          <w:divBdr>
            <w:top w:val="none" w:sz="0" w:space="0" w:color="auto"/>
            <w:left w:val="none" w:sz="0" w:space="0" w:color="auto"/>
            <w:bottom w:val="none" w:sz="0" w:space="0" w:color="auto"/>
            <w:right w:val="none" w:sz="0" w:space="0" w:color="auto"/>
          </w:divBdr>
        </w:div>
        <w:div w:id="2118744738">
          <w:marLeft w:val="446"/>
          <w:marRight w:val="0"/>
          <w:marTop w:val="0"/>
          <w:marBottom w:val="0"/>
          <w:divBdr>
            <w:top w:val="none" w:sz="0" w:space="0" w:color="auto"/>
            <w:left w:val="none" w:sz="0" w:space="0" w:color="auto"/>
            <w:bottom w:val="none" w:sz="0" w:space="0" w:color="auto"/>
            <w:right w:val="none" w:sz="0" w:space="0" w:color="auto"/>
          </w:divBdr>
        </w:div>
        <w:div w:id="8834435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2&amp;cad=rja&amp;uact=8&amp;sqi=2&amp;ved=0CCcQFjAB&amp;url=https://www.gov.uk/government/uploads/system/uploads/attachment_data/file/434936/The_common_inspection_framework_education_skills_and_early_years.pdf&amp;ei=81WSVZqQEoraUe3qipgK&amp;usg=AFQjCNFxUTyUKLcMHYXXJzOP40AU5m1A1w&amp;bvm=bv.96783405,d.ZGU" TargetMode="External"/><Relationship Id="rId13" Type="http://schemas.openxmlformats.org/officeDocument/2006/relationships/hyperlink" Target="https://www.google.co.uk/url?sa=t&amp;rct=j&amp;q=&amp;esrc=s&amp;source=web&amp;cd=2&amp;cad=rja&amp;uact=8&amp;ved=0CCcQFjAB&amp;url=https://www.gov.uk/government/publications/working-together-to-safeguard-children--2&amp;ei=gFaSVfCvF4nxUq_ZkDg&amp;usg=AFQjCNHiPMFNGeFrBy8J-fjDiV4Znrdsbg&amp;bvm=bv.96783405,d.ZGU" TargetMode="External"/><Relationship Id="rId3" Type="http://schemas.openxmlformats.org/officeDocument/2006/relationships/settings" Target="settings.xml"/><Relationship Id="rId7" Type="http://schemas.openxmlformats.org/officeDocument/2006/relationships/hyperlink" Target="https://www.google.co.uk/url?sa=t&amp;rct=j&amp;q=&amp;esrc=s&amp;source=web&amp;cd=1&amp;cad=rja&amp;uact=8&amp;ved=0CCEQFjAA&amp;url=https://www.gov.uk/government/publications/prevent-duty-guidance&amp;ei=sFWSVbrnB4nYU86RidAP&amp;usg=AFQjCNH4Dl6tmpuBFyPReNmTHxWfWvkbXQ&amp;bvm=bv.96783405,d.ZGU" TargetMode="External"/><Relationship Id="rId12" Type="http://schemas.openxmlformats.org/officeDocument/2006/relationships/hyperlink" Target="https://www.gov.uk/government/uploads/system/uploads/attachment_data/file/447595/KCSIE_July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t&amp;rct=j&amp;q=&amp;esrc=s&amp;source=web&amp;cd=1&amp;cad=rja&amp;uact=8&amp;ved=0CCEQFjAA&amp;url=https://www.gov.uk/government/publications/inspecting-safeguarding-in-early-years-education-and-skills-from-september-2015&amp;ei=8VaSVYiEPIPkUrWMgIgF&amp;usg=AFQjCNE3ST3UYcAz7S-jsIa-ai_HVVVISw&amp;bvm=bv.96783405,d.ZG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uk/url?sa=t&amp;rct=j&amp;q=&amp;esrc=s&amp;source=web&amp;cd=1&amp;cad=rja&amp;uact=8&amp;ved=0CCAQFjAAahUKEwjKv5C6lYDIAhXGshQKHc0FD6o&amp;url=https%3A%2F%2Fwww.gov.uk%2Fgovernment%2Fpublications%2Ffurther-education-and-skills-inspection-handbook-from-september-2015&amp;usg=AFQjCNEfukC1ae0FKlnkYUNYDFs4xAOqPA&amp;bvm=bv.102829193,d.bGg"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58865/School_inspection_handbook_section_5_from_September_2015.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clay</dc:creator>
  <cp:keywords/>
  <dc:description/>
  <cp:lastModifiedBy>abigail clay</cp:lastModifiedBy>
  <cp:revision>2</cp:revision>
  <dcterms:created xsi:type="dcterms:W3CDTF">2015-09-18T08:43:00Z</dcterms:created>
  <dcterms:modified xsi:type="dcterms:W3CDTF">2015-09-18T08:43:00Z</dcterms:modified>
</cp:coreProperties>
</file>